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FAC61" w14:textId="77777777" w:rsidR="0084453E" w:rsidRDefault="0071685D">
      <w:pPr>
        <w:spacing w:after="71" w:line="259" w:lineRule="auto"/>
        <w:ind w:left="1627" w:firstLine="0"/>
      </w:pPr>
      <w:r>
        <w:rPr>
          <w:rFonts w:ascii="Felix Titling" w:eastAsia="Felix Titling" w:hAnsi="Felix Titling" w:cs="Felix Titling"/>
          <w:sz w:val="44"/>
        </w:rPr>
        <w:t xml:space="preserve"> </w:t>
      </w:r>
      <w:proofErr w:type="gramStart"/>
      <w:r>
        <w:rPr>
          <w:rFonts w:ascii="Bell MT" w:eastAsia="Bell MT" w:hAnsi="Bell MT" w:cs="Bell MT"/>
          <w:b/>
          <w:sz w:val="44"/>
        </w:rPr>
        <w:t>IAQ</w:t>
      </w:r>
      <w:r>
        <w:rPr>
          <w:rFonts w:ascii="Bell MT" w:eastAsia="Bell MT" w:hAnsi="Bell MT" w:cs="Bell MT"/>
          <w:b/>
          <w:sz w:val="32"/>
        </w:rPr>
        <w:t xml:space="preserve"> :</w:t>
      </w:r>
      <w:proofErr w:type="gramEnd"/>
      <w:r>
        <w:rPr>
          <w:b/>
          <w:sz w:val="32"/>
        </w:rPr>
        <w:t xml:space="preserve"> </w:t>
      </w:r>
      <w:r>
        <w:rPr>
          <w:rFonts w:ascii="Bell MT" w:eastAsia="Bell MT" w:hAnsi="Bell MT" w:cs="Bell MT"/>
          <w:b/>
          <w:sz w:val="36"/>
        </w:rPr>
        <w:t>Indigenous Affairs Quarterly</w:t>
      </w:r>
      <w:r>
        <w:rPr>
          <w:b/>
          <w:sz w:val="32"/>
        </w:rPr>
        <w:t xml:space="preserve"> </w:t>
      </w:r>
    </w:p>
    <w:p w14:paraId="4054E632" w14:textId="77777777" w:rsidR="0084453E" w:rsidRDefault="0071685D">
      <w:pPr>
        <w:spacing w:after="0" w:line="370" w:lineRule="auto"/>
        <w:ind w:left="1627" w:right="58" w:firstLine="0"/>
      </w:pPr>
      <w:r>
        <w:rPr>
          <w:noProof/>
          <w:sz w:val="22"/>
        </w:rPr>
        <mc:AlternateContent>
          <mc:Choice Requires="wpg">
            <w:drawing>
              <wp:anchor distT="0" distB="0" distL="114300" distR="114300" simplePos="0" relativeHeight="251658240" behindDoc="1" locked="0" layoutInCell="1" allowOverlap="1" wp14:anchorId="1B55C83A" wp14:editId="44EF1191">
                <wp:simplePos x="0" y="0"/>
                <wp:positionH relativeFrom="column">
                  <wp:posOffset>0</wp:posOffset>
                </wp:positionH>
                <wp:positionV relativeFrom="paragraph">
                  <wp:posOffset>-494155</wp:posOffset>
                </wp:positionV>
                <wp:extent cx="5961888" cy="914400"/>
                <wp:effectExtent l="0" t="0" r="0" b="0"/>
                <wp:wrapNone/>
                <wp:docPr id="2881" name="Group 2881"/>
                <wp:cNvGraphicFramePr/>
                <a:graphic xmlns:a="http://schemas.openxmlformats.org/drawingml/2006/main">
                  <a:graphicData uri="http://schemas.microsoft.com/office/word/2010/wordprocessingGroup">
                    <wpg:wgp>
                      <wpg:cNvGrpSpPr/>
                      <wpg:grpSpPr>
                        <a:xfrm>
                          <a:off x="0" y="0"/>
                          <a:ext cx="5961888" cy="914400"/>
                          <a:chOff x="0" y="0"/>
                          <a:chExt cx="5961888" cy="914400"/>
                        </a:xfrm>
                      </wpg:grpSpPr>
                      <wps:wsp>
                        <wps:cNvPr id="3347" name="Shape 3347"/>
                        <wps:cNvSpPr/>
                        <wps:spPr>
                          <a:xfrm>
                            <a:off x="1014984" y="353568"/>
                            <a:ext cx="4946904" cy="9144"/>
                          </a:xfrm>
                          <a:custGeom>
                            <a:avLst/>
                            <a:gdLst/>
                            <a:ahLst/>
                            <a:cxnLst/>
                            <a:rect l="0" t="0" r="0" b="0"/>
                            <a:pathLst>
                              <a:path w="4946904" h="9144">
                                <a:moveTo>
                                  <a:pt x="0" y="0"/>
                                </a:moveTo>
                                <a:lnTo>
                                  <a:pt x="4946904" y="0"/>
                                </a:lnTo>
                                <a:lnTo>
                                  <a:pt x="49469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20" name="Picture 120"/>
                          <pic:cNvPicPr/>
                        </pic:nvPicPr>
                        <pic:blipFill>
                          <a:blip r:embed="rId6"/>
                          <a:stretch>
                            <a:fillRect/>
                          </a:stretch>
                        </pic:blipFill>
                        <pic:spPr>
                          <a:xfrm>
                            <a:off x="0" y="0"/>
                            <a:ext cx="919480" cy="914400"/>
                          </a:xfrm>
                          <a:prstGeom prst="rect">
                            <a:avLst/>
                          </a:prstGeom>
                        </pic:spPr>
                      </pic:pic>
                    </wpg:wgp>
                  </a:graphicData>
                </a:graphic>
              </wp:anchor>
            </w:drawing>
          </mc:Choice>
          <mc:Fallback xmlns:a="http://schemas.openxmlformats.org/drawingml/2006/main">
            <w:pict>
              <v:group id="Group 2881" style="width:469.44pt;height:72pt;position:absolute;z-index:-2147483588;mso-position-horizontal-relative:text;mso-position-horizontal:absolute;margin-left:2.28882e-05pt;mso-position-vertical-relative:text;margin-top:-38.91pt;" coordsize="59618,9144">
                <v:shape id="Shape 3348" style="position:absolute;width:49469;height:91;left:10149;top:3535;" coordsize="4946904,9144" path="m0,0l4946904,0l4946904,9144l0,9144l0,0">
                  <v:stroke weight="0pt" endcap="flat" joinstyle="miter" miterlimit="10" on="false" color="#000000" opacity="0"/>
                  <v:fill on="true" color="#000000"/>
                </v:shape>
                <v:shape id="Picture 120" style="position:absolute;width:9194;height:9144;left:0;top:0;" filled="f">
                  <v:imagedata r:id="rId7"/>
                </v:shape>
              </v:group>
            </w:pict>
          </mc:Fallback>
        </mc:AlternateContent>
      </w:r>
      <w:r>
        <w:rPr>
          <w:b/>
          <w:sz w:val="28"/>
        </w:rPr>
        <w:t xml:space="preserve">  Baltimore Yearly Meeting Indigenous Affairs </w:t>
      </w:r>
      <w:proofErr w:type="gramStart"/>
      <w:r>
        <w:rPr>
          <w:b/>
          <w:sz w:val="28"/>
        </w:rPr>
        <w:t xml:space="preserve">Committee  </w:t>
      </w:r>
      <w:r>
        <w:rPr>
          <w:b/>
          <w:color w:val="60A500"/>
          <w:sz w:val="28"/>
        </w:rPr>
        <w:t>Summer</w:t>
      </w:r>
      <w:proofErr w:type="gramEnd"/>
      <w:r>
        <w:rPr>
          <w:b/>
          <w:color w:val="60A500"/>
          <w:sz w:val="28"/>
        </w:rPr>
        <w:t xml:space="preserve">, 2026 </w:t>
      </w:r>
      <w:r>
        <w:rPr>
          <w:b/>
          <w:i/>
          <w:sz w:val="28"/>
        </w:rPr>
        <w:t xml:space="preserve"> </w:t>
      </w:r>
    </w:p>
    <w:p w14:paraId="140FE7A8" w14:textId="77777777" w:rsidR="0084453E" w:rsidRDefault="0071685D">
      <w:pPr>
        <w:spacing w:after="168" w:line="261" w:lineRule="auto"/>
        <w:ind w:left="0" w:firstLine="0"/>
      </w:pPr>
      <w:r>
        <w:rPr>
          <w:color w:val="000080"/>
        </w:rPr>
        <w:t xml:space="preserve">If </w:t>
      </w:r>
      <w:r>
        <w:rPr>
          <w:color w:val="000080"/>
        </w:rPr>
        <w:t xml:space="preserve">no one else is distributing the IAQ to your meeting </w:t>
      </w:r>
      <w:r>
        <w:rPr>
          <w:color w:val="000080"/>
        </w:rPr>
        <w:t xml:space="preserve">– </w:t>
      </w:r>
      <w:r>
        <w:rPr>
          <w:color w:val="000080"/>
        </w:rPr>
        <w:t xml:space="preserve">tag, you’re it! </w:t>
      </w:r>
      <w:r>
        <w:rPr>
          <w:i/>
          <w:color w:val="000080"/>
        </w:rPr>
        <w:t>Please share it</w:t>
      </w:r>
      <w:r>
        <w:rPr>
          <w:color w:val="000080"/>
        </w:rPr>
        <w:t xml:space="preserve">! You may forward it to your </w:t>
      </w:r>
      <w:r>
        <w:rPr>
          <w:color w:val="000080"/>
        </w:rPr>
        <w:t>listserv</w:t>
      </w:r>
      <w:r>
        <w:rPr>
          <w:color w:val="000080"/>
        </w:rPr>
        <w:t xml:space="preserve">, print copies to share, or whatever works. This IAQ and all the other editions are posted on the Indigenous Affairs Committee's website. Here is the shortened link to get you there: </w:t>
      </w:r>
      <w:hyperlink r:id="rId8">
        <w:r>
          <w:t xml:space="preserve"> </w:t>
        </w:r>
      </w:hyperlink>
      <w:hyperlink r:id="rId9">
        <w:r>
          <w:rPr>
            <w:rFonts w:ascii="Georgia" w:eastAsia="Georgia" w:hAnsi="Georgia" w:cs="Georgia"/>
            <w:color w:val="954F72"/>
            <w:sz w:val="28"/>
            <w:u w:val="single" w:color="954F72"/>
          </w:rPr>
          <w:t>https://bit.ly/3Ks8b8x</w:t>
        </w:r>
      </w:hyperlink>
      <w:hyperlink r:id="rId10">
        <w:r>
          <w:t xml:space="preserve"> </w:t>
        </w:r>
      </w:hyperlink>
    </w:p>
    <w:p w14:paraId="4136C331" w14:textId="77777777" w:rsidR="0084453E" w:rsidRDefault="0071685D">
      <w:pPr>
        <w:pStyle w:val="Heading1"/>
        <w:ind w:left="-5" w:right="139"/>
      </w:pPr>
      <w:r>
        <w:t>In the News</w:t>
      </w:r>
      <w:r>
        <w:rPr>
          <w:u w:val="none"/>
        </w:rPr>
        <w:t xml:space="preserve"> </w:t>
      </w:r>
    </w:p>
    <w:p w14:paraId="6CEAFA40" w14:textId="77777777" w:rsidR="0084453E" w:rsidRDefault="0071685D">
      <w:pPr>
        <w:ind w:left="-5"/>
      </w:pPr>
      <w:r>
        <w:t xml:space="preserve">Recently President Trump slashed protections for two sites </w:t>
      </w:r>
      <w:r>
        <w:t xml:space="preserve">– </w:t>
      </w:r>
      <w:r>
        <w:t xml:space="preserve">Bears Ears and Grand </w:t>
      </w:r>
      <w:proofErr w:type="spellStart"/>
      <w:r>
        <w:t>Staircase</w:t>
      </w:r>
      <w:r>
        <w:t>Escalante</w:t>
      </w:r>
      <w:proofErr w:type="spellEnd"/>
      <w:r>
        <w:t xml:space="preserve"> National Monuments </w:t>
      </w:r>
      <w:r>
        <w:t xml:space="preserve">– </w:t>
      </w:r>
      <w:proofErr w:type="gramStart"/>
      <w:r>
        <w:t>that  have</w:t>
      </w:r>
      <w:proofErr w:type="gramEnd"/>
      <w:r>
        <w:t xml:space="preserve"> long been regarded as sacred by the Navajo Nation, </w:t>
      </w:r>
    </w:p>
    <w:p w14:paraId="0D8F6615" w14:textId="77777777" w:rsidR="0084453E" w:rsidRDefault="0071685D">
      <w:pPr>
        <w:ind w:left="-5"/>
      </w:pPr>
      <w:r>
        <w:rPr>
          <w:noProof/>
        </w:rPr>
        <w:drawing>
          <wp:anchor distT="0" distB="0" distL="114300" distR="114300" simplePos="0" relativeHeight="251659264" behindDoc="0" locked="0" layoutInCell="1" allowOverlap="0" wp14:anchorId="2281BFDE" wp14:editId="66AA7978">
            <wp:simplePos x="0" y="0"/>
            <wp:positionH relativeFrom="column">
              <wp:posOffset>-541020</wp:posOffset>
            </wp:positionH>
            <wp:positionV relativeFrom="paragraph">
              <wp:posOffset>944829</wp:posOffset>
            </wp:positionV>
            <wp:extent cx="1143000" cy="1470660"/>
            <wp:effectExtent l="0" t="0" r="0" b="0"/>
            <wp:wrapSquare wrapText="bothSides"/>
            <wp:docPr id="122" name="Picture 122"/>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11"/>
                    <a:stretch>
                      <a:fillRect/>
                    </a:stretch>
                  </pic:blipFill>
                  <pic:spPr>
                    <a:xfrm>
                      <a:off x="0" y="0"/>
                      <a:ext cx="1143000" cy="1470660"/>
                    </a:xfrm>
                    <a:prstGeom prst="rect">
                      <a:avLst/>
                    </a:prstGeom>
                  </pic:spPr>
                </pic:pic>
              </a:graphicData>
            </a:graphic>
          </wp:anchor>
        </w:drawing>
      </w:r>
      <w:r>
        <w:rPr>
          <w:noProof/>
        </w:rPr>
        <w:drawing>
          <wp:anchor distT="0" distB="0" distL="114300" distR="114300" simplePos="0" relativeHeight="251660288" behindDoc="0" locked="0" layoutInCell="1" allowOverlap="0" wp14:anchorId="3502D7EC" wp14:editId="49223EB8">
            <wp:simplePos x="0" y="0"/>
            <wp:positionH relativeFrom="column">
              <wp:posOffset>3131821</wp:posOffset>
            </wp:positionH>
            <wp:positionV relativeFrom="paragraph">
              <wp:posOffset>1999388</wp:posOffset>
            </wp:positionV>
            <wp:extent cx="2720340" cy="2040255"/>
            <wp:effectExtent l="0" t="0" r="0" b="0"/>
            <wp:wrapSquare wrapText="bothSides"/>
            <wp:docPr id="124" name="Picture 124"/>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a:blip r:embed="rId12"/>
                    <a:stretch>
                      <a:fillRect/>
                    </a:stretch>
                  </pic:blipFill>
                  <pic:spPr>
                    <a:xfrm>
                      <a:off x="0" y="0"/>
                      <a:ext cx="2720340" cy="2040255"/>
                    </a:xfrm>
                    <a:prstGeom prst="rect">
                      <a:avLst/>
                    </a:prstGeom>
                  </pic:spPr>
                </pic:pic>
              </a:graphicData>
            </a:graphic>
          </wp:anchor>
        </w:drawing>
      </w:r>
      <w:r>
        <w:t>Hopi Tribe, Pueblo of Zuni, Ute Indian Tribe, and Ute Mountain Ute Tribe.</w:t>
      </w:r>
      <w:r>
        <w:t xml:space="preserve"> </w:t>
      </w:r>
      <w:r>
        <w:rPr>
          <w:i/>
        </w:rPr>
        <w:t>Native News Online</w:t>
      </w:r>
      <w:r>
        <w:t xml:space="preserve"> (7/20) </w:t>
      </w:r>
      <w:r>
        <w:t>tells us that the</w:t>
      </w:r>
      <w:r>
        <w:t xml:space="preserve">se sites </w:t>
      </w:r>
      <w:r>
        <w:t>contain “thousands of archaeologic</w:t>
      </w:r>
      <w:r>
        <w:t>al and cultural sites, including cliff dwellings, rock art, ceremonial locations, and ancestral villages. Tribal citizens also continue to hunt, gather medicinal plants, and conduct traditional cultural practices throughout the landscape.” Trump’s proclama</w:t>
      </w:r>
      <w:r>
        <w:t xml:space="preserve">tion reduces each monument by about 90% and opens them both up to oil and gas drilling. </w:t>
      </w:r>
      <w:r>
        <w:t xml:space="preserve"> </w:t>
      </w:r>
    </w:p>
    <w:p w14:paraId="514BFEC8" w14:textId="77777777" w:rsidR="0084453E" w:rsidRDefault="0071685D">
      <w:pPr>
        <w:spacing w:after="0" w:line="259" w:lineRule="auto"/>
        <w:ind w:left="1128" w:firstLine="0"/>
      </w:pPr>
      <w:r>
        <w:t xml:space="preserve"> </w:t>
      </w:r>
    </w:p>
    <w:p w14:paraId="6B7A1F9C" w14:textId="77777777" w:rsidR="0084453E" w:rsidRDefault="0071685D">
      <w:pPr>
        <w:spacing w:after="1" w:line="240" w:lineRule="auto"/>
        <w:ind w:right="206"/>
      </w:pPr>
      <w:r>
        <w:t xml:space="preserve">Natives will be challenging his right to do so in court. Native American Rights Fund (NARF) Deputy Director Matthew Campbell says, </w:t>
      </w:r>
      <w:proofErr w:type="gramStart"/>
      <w:r>
        <w:t>“</w:t>
      </w:r>
      <w:r>
        <w:rPr>
          <w:color w:val="111111"/>
        </w:rPr>
        <w:t xml:space="preserve"> </w:t>
      </w:r>
      <w:r>
        <w:rPr>
          <w:color w:val="111111"/>
        </w:rPr>
        <w:t>Tribal</w:t>
      </w:r>
      <w:proofErr w:type="gramEnd"/>
      <w:r>
        <w:rPr>
          <w:color w:val="111111"/>
        </w:rPr>
        <w:t xml:space="preserve"> Nations have protected t</w:t>
      </w:r>
      <w:r>
        <w:rPr>
          <w:color w:val="111111"/>
        </w:rPr>
        <w:t xml:space="preserve">hese lands for generations and they won’t stop now.” </w:t>
      </w:r>
      <w:r>
        <w:rPr>
          <w:color w:val="111111"/>
        </w:rPr>
        <w:t>S</w:t>
      </w:r>
      <w:r>
        <w:rPr>
          <w:color w:val="111111"/>
        </w:rPr>
        <w:t xml:space="preserve">ince this is not a legislative issue, one of the best ways to support Native Americans in the legal battle may be to send a donation to NARF, a 501 (c) (3) </w:t>
      </w:r>
    </w:p>
    <w:p w14:paraId="471BA586" w14:textId="77777777" w:rsidR="0084453E" w:rsidRDefault="0071685D">
      <w:pPr>
        <w:spacing w:after="1" w:line="240" w:lineRule="auto"/>
        <w:ind w:right="206"/>
      </w:pPr>
      <w:r>
        <w:rPr>
          <w:color w:val="111111"/>
        </w:rPr>
        <w:t>organization with a four</w:t>
      </w:r>
      <w:r>
        <w:rPr>
          <w:color w:val="111111"/>
        </w:rPr>
        <w:t>-</w:t>
      </w:r>
      <w:r>
        <w:rPr>
          <w:color w:val="111111"/>
        </w:rPr>
        <w:t xml:space="preserve">star rating from </w:t>
      </w:r>
      <w:r>
        <w:rPr>
          <w:i/>
          <w:color w:val="111111"/>
        </w:rPr>
        <w:t>Cha</w:t>
      </w:r>
      <w:r>
        <w:rPr>
          <w:i/>
          <w:color w:val="111111"/>
        </w:rPr>
        <w:t>rity Navigator</w:t>
      </w:r>
      <w:r>
        <w:rPr>
          <w:color w:val="111111"/>
        </w:rPr>
        <w:t xml:space="preserve">. Learn more about NARF from </w:t>
      </w:r>
      <w:proofErr w:type="gramStart"/>
      <w:r>
        <w:rPr>
          <w:color w:val="111111"/>
        </w:rPr>
        <w:t>their</w:t>
      </w:r>
      <w:proofErr w:type="gramEnd"/>
      <w:r>
        <w:rPr>
          <w:color w:val="111111"/>
        </w:rPr>
        <w:t xml:space="preserve"> </w:t>
      </w:r>
    </w:p>
    <w:p w14:paraId="0AA9D748" w14:textId="77777777" w:rsidR="0084453E" w:rsidRDefault="0071685D">
      <w:pPr>
        <w:spacing w:after="0" w:line="259" w:lineRule="auto"/>
        <w:ind w:left="-5" w:right="139"/>
      </w:pPr>
      <w:r>
        <w:rPr>
          <w:color w:val="111111"/>
        </w:rPr>
        <w:t xml:space="preserve">website: </w:t>
      </w:r>
      <w:hyperlink r:id="rId13">
        <w:r>
          <w:rPr>
            <w:color w:val="0563C1"/>
            <w:u w:val="single" w:color="0563C1"/>
          </w:rPr>
          <w:t>https://narf.org/</w:t>
        </w:r>
      </w:hyperlink>
      <w:hyperlink r:id="rId14">
        <w:r>
          <w:rPr>
            <w:color w:val="111111"/>
          </w:rPr>
          <w:t xml:space="preserve"> </w:t>
        </w:r>
      </w:hyperlink>
    </w:p>
    <w:p w14:paraId="30B49137" w14:textId="77777777" w:rsidR="0084453E" w:rsidRDefault="0071685D">
      <w:pPr>
        <w:spacing w:after="15" w:line="259" w:lineRule="auto"/>
        <w:ind w:left="0" w:right="139" w:firstLine="0"/>
      </w:pPr>
      <w:r>
        <w:t xml:space="preserve"> </w:t>
      </w:r>
    </w:p>
    <w:p w14:paraId="1A33BD54" w14:textId="77777777" w:rsidR="0084453E" w:rsidRDefault="0071685D">
      <w:pPr>
        <w:pStyle w:val="Heading1"/>
        <w:ind w:left="-5" w:right="139"/>
      </w:pPr>
      <w:r>
        <w:t>What We’re Learning</w:t>
      </w:r>
      <w:r>
        <w:rPr>
          <w:u w:val="none"/>
        </w:rPr>
        <w:t xml:space="preserve"> </w:t>
      </w:r>
    </w:p>
    <w:p w14:paraId="4DF30AE5" w14:textId="77777777" w:rsidR="0084453E" w:rsidRDefault="0071685D">
      <w:pPr>
        <w:spacing w:after="43"/>
        <w:ind w:left="-5" w:right="189"/>
      </w:pPr>
      <w:r>
        <w:t>Travelling to Tribal lands and meeting Native American crafters and guides is a w</w:t>
      </w:r>
      <w:r>
        <w:t xml:space="preserve">onderful way to learn about indigenous peoples. Sue Marcus, </w:t>
      </w:r>
      <w:r>
        <w:tab/>
      </w:r>
      <w:r>
        <w:rPr>
          <w:i/>
          <w:color w:val="44546A"/>
        </w:rPr>
        <w:t xml:space="preserve">Sue Marcus explores the Bandolier National </w:t>
      </w:r>
      <w:r>
        <w:t xml:space="preserve">a former member of the IAC who is still </w:t>
      </w:r>
      <w:r>
        <w:tab/>
      </w:r>
      <w:r>
        <w:rPr>
          <w:i/>
          <w:color w:val="44546A"/>
        </w:rPr>
        <w:t xml:space="preserve">Monument in New Mexico, once a dwelling </w:t>
      </w:r>
      <w:r>
        <w:t xml:space="preserve">committed to learning and advocacy on behalf </w:t>
      </w:r>
      <w:r>
        <w:tab/>
      </w:r>
      <w:r>
        <w:rPr>
          <w:i/>
          <w:color w:val="44546A"/>
        </w:rPr>
        <w:t xml:space="preserve">for indigenous people.  </w:t>
      </w:r>
    </w:p>
    <w:p w14:paraId="7FF5C2B0" w14:textId="77777777" w:rsidR="0084453E" w:rsidRDefault="0071685D">
      <w:pPr>
        <w:ind w:left="-5"/>
      </w:pPr>
      <w:r>
        <w:t xml:space="preserve">of Tribes, recently travelled to New Mexico to </w:t>
      </w:r>
    </w:p>
    <w:p w14:paraId="123ACF6E" w14:textId="77777777" w:rsidR="0084453E" w:rsidRDefault="0071685D">
      <w:pPr>
        <w:ind w:left="-5"/>
      </w:pPr>
      <w:r>
        <w:t>explore some of its many Pueblos, each with its own history and Tribal identity. Check out</w:t>
      </w:r>
      <w:r>
        <w:t xml:space="preserve"> </w:t>
      </w:r>
      <w:r>
        <w:t xml:space="preserve">Sue’s report, </w:t>
      </w:r>
      <w:r>
        <w:rPr>
          <w:b/>
          <w:i/>
        </w:rPr>
        <w:t xml:space="preserve">Pueblo Adventures—Exploring New Mexico’s Indigenous Cultures, </w:t>
      </w:r>
      <w:r>
        <w:t>on the IAC website.</w:t>
      </w:r>
      <w:r>
        <w:t xml:space="preserve">  </w:t>
      </w:r>
    </w:p>
    <w:p w14:paraId="75345B3E" w14:textId="77777777" w:rsidR="0084453E" w:rsidRDefault="0071685D">
      <w:pPr>
        <w:spacing w:after="209"/>
        <w:ind w:left="-5"/>
      </w:pPr>
      <w:r>
        <w:lastRenderedPageBreak/>
        <w:t>The National Park Service offers a list of possible places open for</w:t>
      </w:r>
      <w:r>
        <w:t xml:space="preserve"> public visits that are important to indigenous people of the United States. Find it here:   </w:t>
      </w:r>
      <w:hyperlink r:id="rId15">
        <w:r>
          <w:rPr>
            <w:color w:val="0563C1"/>
            <w:u w:val="single" w:color="0563C1"/>
          </w:rPr>
          <w:t>https://www.nps.gov/articles/visit</w:t>
        </w:r>
      </w:hyperlink>
      <w:hyperlink r:id="rId16"/>
      <w:hyperlink r:id="rId17">
        <w:r>
          <w:rPr>
            <w:color w:val="0563C1"/>
            <w:u w:val="single" w:color="0563C1"/>
          </w:rPr>
          <w:t>indigenous</w:t>
        </w:r>
      </w:hyperlink>
      <w:hyperlink r:id="rId18">
        <w:r>
          <w:rPr>
            <w:color w:val="0563C1"/>
            <w:u w:val="single" w:color="0563C1"/>
          </w:rPr>
          <w:t>-</w:t>
        </w:r>
      </w:hyperlink>
      <w:hyperlink r:id="rId19">
        <w:r>
          <w:rPr>
            <w:color w:val="0563C1"/>
            <w:u w:val="single" w:color="0563C1"/>
          </w:rPr>
          <w:t>landscapes.htm</w:t>
        </w:r>
      </w:hyperlink>
      <w:hyperlink r:id="rId20">
        <w:r>
          <w:t xml:space="preserve"> </w:t>
        </w:r>
      </w:hyperlink>
      <w:r>
        <w:t xml:space="preserve">    </w:t>
      </w:r>
    </w:p>
    <w:p w14:paraId="749D40C6" w14:textId="77777777" w:rsidR="0084453E" w:rsidRDefault="0071685D">
      <w:pPr>
        <w:pStyle w:val="Heading1"/>
        <w:ind w:left="-5" w:right="139"/>
      </w:pPr>
      <w:r>
        <w:t>Resources</w:t>
      </w:r>
      <w:r>
        <w:rPr>
          <w:u w:val="none"/>
        </w:rPr>
        <w:t xml:space="preserve"> </w:t>
      </w:r>
    </w:p>
    <w:p w14:paraId="4FCAD175" w14:textId="77777777" w:rsidR="0084453E" w:rsidRDefault="0071685D">
      <w:pPr>
        <w:ind w:left="-5"/>
      </w:pPr>
      <w:r>
        <w:rPr>
          <w:noProof/>
        </w:rPr>
        <w:drawing>
          <wp:anchor distT="0" distB="0" distL="114300" distR="114300" simplePos="0" relativeHeight="251661312" behindDoc="0" locked="0" layoutInCell="1" allowOverlap="0" wp14:anchorId="41CCE559" wp14:editId="6C874C43">
            <wp:simplePos x="0" y="0"/>
            <wp:positionH relativeFrom="column">
              <wp:posOffset>0</wp:posOffset>
            </wp:positionH>
            <wp:positionV relativeFrom="paragraph">
              <wp:posOffset>660113</wp:posOffset>
            </wp:positionV>
            <wp:extent cx="2040890" cy="3059430"/>
            <wp:effectExtent l="0" t="0" r="0" b="0"/>
            <wp:wrapSquare wrapText="bothSides"/>
            <wp:docPr id="357" name="Picture 357"/>
            <wp:cNvGraphicFramePr/>
            <a:graphic xmlns:a="http://schemas.openxmlformats.org/drawingml/2006/main">
              <a:graphicData uri="http://schemas.openxmlformats.org/drawingml/2006/picture">
                <pic:pic xmlns:pic="http://schemas.openxmlformats.org/drawingml/2006/picture">
                  <pic:nvPicPr>
                    <pic:cNvPr id="357" name="Picture 357"/>
                    <pic:cNvPicPr/>
                  </pic:nvPicPr>
                  <pic:blipFill>
                    <a:blip r:embed="rId21"/>
                    <a:stretch>
                      <a:fillRect/>
                    </a:stretch>
                  </pic:blipFill>
                  <pic:spPr>
                    <a:xfrm>
                      <a:off x="0" y="0"/>
                      <a:ext cx="2040890" cy="3059430"/>
                    </a:xfrm>
                    <a:prstGeom prst="rect">
                      <a:avLst/>
                    </a:prstGeom>
                  </pic:spPr>
                </pic:pic>
              </a:graphicData>
            </a:graphic>
          </wp:anchor>
        </w:drawing>
      </w:r>
      <w:r>
        <w:t xml:space="preserve">If the Bible is a source of inspiration for you </w:t>
      </w:r>
      <w:r>
        <w:t xml:space="preserve">– </w:t>
      </w:r>
      <w:r>
        <w:t>or if you’d like to encounter it again from a whole fresh perspectiv</w:t>
      </w:r>
      <w:r>
        <w:t xml:space="preserve">e </w:t>
      </w:r>
      <w:r>
        <w:t xml:space="preserve">– </w:t>
      </w:r>
      <w:r>
        <w:t xml:space="preserve">check out </w:t>
      </w:r>
      <w:r>
        <w:rPr>
          <w:b/>
          <w:i/>
        </w:rPr>
        <w:t>Reading the Bible on Turtle Island.</w:t>
      </w:r>
      <w:r>
        <w:rPr>
          <w:i/>
        </w:rPr>
        <w:t xml:space="preserve"> </w:t>
      </w:r>
      <w:r>
        <w:t>The</w:t>
      </w:r>
      <w:r>
        <w:t xml:space="preserve"> </w:t>
      </w:r>
      <w:r>
        <w:t xml:space="preserve">authors, T. Christopher </w:t>
      </w:r>
      <w:proofErr w:type="spellStart"/>
      <w:r>
        <w:t>Hoklotubbe</w:t>
      </w:r>
      <w:proofErr w:type="spellEnd"/>
      <w:r>
        <w:t xml:space="preserve"> and H. Daniel Zacharias, are Natives who are also theologians. They approach the Bible with a deep respect for Tribal traditions and find not conflict, but consistency</w:t>
      </w:r>
      <w:r>
        <w:t xml:space="preserve">. Although Christians historically have treated Native wisdom and ceremonies </w:t>
      </w:r>
      <w:r>
        <w:t xml:space="preserve">as </w:t>
      </w:r>
      <w:r>
        <w:t>heathen</w:t>
      </w:r>
      <w:r>
        <w:t xml:space="preserve"> </w:t>
      </w:r>
      <w:r>
        <w:t xml:space="preserve">heresy to be stamped out, these theologians find </w:t>
      </w:r>
      <w:r>
        <w:t xml:space="preserve">in </w:t>
      </w:r>
      <w:r>
        <w:t>their traditions a kind of “</w:t>
      </w:r>
      <w:proofErr w:type="gramStart"/>
      <w:r>
        <w:t>old Testament</w:t>
      </w:r>
      <w:proofErr w:type="gramEnd"/>
      <w:r>
        <w:t>” that meshes with and enlightens Biblical stories and teachings. A fresh r</w:t>
      </w:r>
      <w:r>
        <w:t xml:space="preserve">eading of Genesis stresses our kinship with all creation, while Jesus’s teachings </w:t>
      </w:r>
      <w:r>
        <w:t xml:space="preserve">and life – </w:t>
      </w:r>
      <w:r>
        <w:t xml:space="preserve">including his “vision quest” in the desert </w:t>
      </w:r>
      <w:proofErr w:type="gramStart"/>
      <w:r>
        <w:t>–  are</w:t>
      </w:r>
      <w:proofErr w:type="gramEnd"/>
      <w:r>
        <w:t xml:space="preserve"> a </w:t>
      </w:r>
      <w:r>
        <w:t>call to harmony</w:t>
      </w:r>
      <w:r>
        <w:t xml:space="preserve"> </w:t>
      </w:r>
      <w:r>
        <w:t>that speaks to Indigenous peoples.</w:t>
      </w:r>
      <w:r>
        <w:t xml:space="preserve"> Readers </w:t>
      </w:r>
      <w:r>
        <w:t>are shown where Natives can find themselves and their ancestors in Scripture</w:t>
      </w:r>
      <w:r>
        <w:t xml:space="preserve"> – </w:t>
      </w:r>
      <w:r>
        <w:t>arguably more easily than many Christians of European descent. The book is beautifully written and a joy to read.  Plug the title into your search engine and you’ll find multipl</w:t>
      </w:r>
      <w:r>
        <w:t xml:space="preserve">e sources. </w:t>
      </w:r>
      <w:r>
        <w:t xml:space="preserve"> </w:t>
      </w:r>
    </w:p>
    <w:p w14:paraId="32D25424" w14:textId="77777777" w:rsidR="0084453E" w:rsidRDefault="0071685D">
      <w:pPr>
        <w:spacing w:after="0" w:line="259" w:lineRule="auto"/>
        <w:ind w:left="0" w:firstLine="0"/>
      </w:pPr>
      <w:r>
        <w:rPr>
          <w:rFonts w:ascii="Arial" w:eastAsia="Arial" w:hAnsi="Arial" w:cs="Arial"/>
          <w:color w:val="222222"/>
        </w:rPr>
        <w:t xml:space="preserve"> </w:t>
      </w:r>
    </w:p>
    <w:p w14:paraId="49F2AC5D" w14:textId="77777777" w:rsidR="0084453E" w:rsidRDefault="0071685D">
      <w:pPr>
        <w:spacing w:after="3" w:line="240" w:lineRule="auto"/>
        <w:ind w:left="-15" w:firstLine="180"/>
      </w:pPr>
      <w:r>
        <w:rPr>
          <w:b/>
          <w:i/>
          <w:color w:val="222222"/>
        </w:rPr>
        <w:t>Tending Our Roots</w:t>
      </w:r>
      <w:r>
        <w:rPr>
          <w:color w:val="222222"/>
        </w:rPr>
        <w:t xml:space="preserve"> </w:t>
      </w:r>
      <w:r>
        <w:rPr>
          <w:color w:val="222222"/>
        </w:rPr>
        <w:t>is a conversation</w:t>
      </w:r>
      <w:r>
        <w:rPr>
          <w:color w:val="222222"/>
        </w:rPr>
        <w:t>-</w:t>
      </w:r>
      <w:r>
        <w:rPr>
          <w:color w:val="222222"/>
        </w:rPr>
        <w:t>based podcast that uplifts Indigenous voices, knowledge, and ways of being as pathways to well</w:t>
      </w:r>
      <w:r>
        <w:rPr>
          <w:color w:val="222222"/>
        </w:rPr>
        <w:t>-</w:t>
      </w:r>
      <w:r>
        <w:rPr>
          <w:color w:val="222222"/>
        </w:rPr>
        <w:t>being. Hosted by</w:t>
      </w:r>
      <w:hyperlink r:id="rId22">
        <w:r>
          <w:rPr>
            <w:color w:val="222222"/>
          </w:rPr>
          <w:t xml:space="preserve"> </w:t>
        </w:r>
      </w:hyperlink>
      <w:hyperlink r:id="rId23">
        <w:r>
          <w:rPr>
            <w:color w:val="1155CC"/>
            <w:u w:val="single" w:color="1155CC"/>
          </w:rPr>
          <w:t xml:space="preserve">Dr. </w:t>
        </w:r>
        <w:proofErr w:type="spellStart"/>
        <w:r>
          <w:rPr>
            <w:color w:val="1155CC"/>
            <w:u w:val="single" w:color="1155CC"/>
          </w:rPr>
          <w:t>Miigis</w:t>
        </w:r>
        <w:proofErr w:type="spellEnd"/>
        <w:r>
          <w:rPr>
            <w:color w:val="1155CC"/>
            <w:u w:val="single" w:color="1155CC"/>
          </w:rPr>
          <w:t xml:space="preserve"> Gonzalez</w:t>
        </w:r>
      </w:hyperlink>
      <w:hyperlink r:id="rId24">
        <w:r>
          <w:rPr>
            <w:color w:val="222222"/>
          </w:rPr>
          <w:t xml:space="preserve"> </w:t>
        </w:r>
      </w:hyperlink>
      <w:r>
        <w:rPr>
          <w:color w:val="222222"/>
        </w:rPr>
        <w:t>(Lac Courte Oreilles Ojibwe) and</w:t>
      </w:r>
      <w:hyperlink r:id="rId25">
        <w:r>
          <w:rPr>
            <w:color w:val="222222"/>
          </w:rPr>
          <w:t xml:space="preserve"> </w:t>
        </w:r>
      </w:hyperlink>
      <w:hyperlink r:id="rId26">
        <w:r>
          <w:rPr>
            <w:color w:val="1155CC"/>
            <w:u w:val="single" w:color="1155CC"/>
          </w:rPr>
          <w:t>Dr. Jill Fish</w:t>
        </w:r>
      </w:hyperlink>
      <w:hyperlink r:id="rId27">
        <w:r>
          <w:rPr>
            <w:color w:val="222222"/>
          </w:rPr>
          <w:t xml:space="preserve"> </w:t>
        </w:r>
      </w:hyperlink>
      <w:r>
        <w:rPr>
          <w:color w:val="222222"/>
        </w:rPr>
        <w:t>(lineal descendant of the Tuscarora Nation), the podcast creates space for stories grounded in relationships</w:t>
      </w:r>
      <w:r>
        <w:rPr>
          <w:color w:val="222222"/>
        </w:rPr>
        <w:t>—</w:t>
      </w:r>
      <w:r>
        <w:rPr>
          <w:color w:val="222222"/>
        </w:rPr>
        <w:t>to land, to community, to spirit, and to self. Each episode brings li</w:t>
      </w:r>
      <w:r>
        <w:rPr>
          <w:color w:val="222222"/>
        </w:rPr>
        <w:t>steners into conversation with guests whose lives and work reflect Indigenous</w:t>
      </w:r>
      <w:r>
        <w:rPr>
          <w:color w:val="222222"/>
        </w:rPr>
        <w:t xml:space="preserve"> </w:t>
      </w:r>
      <w:r>
        <w:rPr>
          <w:color w:val="222222"/>
        </w:rPr>
        <w:t>approaches to living well Listen to this week's episode here:</w:t>
      </w:r>
      <w:r>
        <w:rPr>
          <w:color w:val="222222"/>
        </w:rPr>
        <w:t xml:space="preserve"> </w:t>
      </w:r>
    </w:p>
    <w:p w14:paraId="7DCB49F7" w14:textId="77777777" w:rsidR="0084453E" w:rsidRDefault="0071685D">
      <w:pPr>
        <w:spacing w:after="0" w:line="259" w:lineRule="auto"/>
        <w:ind w:left="0" w:firstLine="0"/>
      </w:pPr>
      <w:hyperlink r:id="rId28">
        <w:r>
          <w:rPr>
            <w:color w:val="1155CC"/>
            <w:u w:val="single" w:color="1155CC"/>
          </w:rPr>
          <w:t>https://cih.jhu.edu/programs/tending</w:t>
        </w:r>
      </w:hyperlink>
      <w:hyperlink r:id="rId29">
        <w:r>
          <w:rPr>
            <w:color w:val="1155CC"/>
            <w:u w:val="single" w:color="1155CC"/>
          </w:rPr>
          <w:t>-our-roots/</w:t>
        </w:r>
      </w:hyperlink>
      <w:hyperlink r:id="rId30">
        <w:r>
          <w:rPr>
            <w:color w:val="222222"/>
          </w:rPr>
          <w:t xml:space="preserve"> </w:t>
        </w:r>
      </w:hyperlink>
    </w:p>
    <w:p w14:paraId="7AE1954B" w14:textId="77777777" w:rsidR="0084453E" w:rsidRDefault="0071685D">
      <w:pPr>
        <w:spacing w:after="15" w:line="259" w:lineRule="auto"/>
        <w:ind w:left="0" w:firstLine="0"/>
      </w:pPr>
      <w:r>
        <w:t xml:space="preserve"> </w:t>
      </w:r>
    </w:p>
    <w:p w14:paraId="3B295528" w14:textId="77777777" w:rsidR="0084453E" w:rsidRDefault="0071685D">
      <w:pPr>
        <w:pStyle w:val="Heading1"/>
        <w:ind w:left="-5" w:right="139"/>
      </w:pPr>
      <w:r>
        <w:t>Special Events</w:t>
      </w:r>
      <w:r>
        <w:rPr>
          <w:u w:val="none"/>
        </w:rPr>
        <w:t xml:space="preserve"> </w:t>
      </w:r>
    </w:p>
    <w:p w14:paraId="3BB4C390" w14:textId="77777777" w:rsidR="0084453E" w:rsidRDefault="0071685D">
      <w:pPr>
        <w:ind w:left="-5"/>
      </w:pPr>
      <w:r>
        <w:t xml:space="preserve">The National Museum of the American Indian, located in Washington, D.C., offers an exhibit of </w:t>
      </w:r>
    </w:p>
    <w:p w14:paraId="20BF3199" w14:textId="77777777" w:rsidR="0084453E" w:rsidRDefault="0071685D">
      <w:pPr>
        <w:spacing w:after="3" w:line="240" w:lineRule="auto"/>
        <w:ind w:left="-5"/>
      </w:pPr>
      <w:r>
        <w:t xml:space="preserve">100 years of Indigenous art. </w:t>
      </w:r>
      <w:r>
        <w:rPr>
          <w:b/>
          <w:i/>
        </w:rPr>
        <w:t>Stretching the Canvas, Ten Decades of Native Painting</w:t>
      </w:r>
      <w:r>
        <w:rPr>
          <w:b/>
        </w:rPr>
        <w:t>,</w:t>
      </w:r>
      <w:r>
        <w:t xml:space="preserve"> </w:t>
      </w:r>
      <w:r>
        <w:rPr>
          <w:color w:val="222222"/>
        </w:rPr>
        <w:t>explores</w:t>
      </w:r>
      <w:r>
        <w:rPr>
          <w:color w:val="222222"/>
        </w:rPr>
        <w:t xml:space="preserve"> </w:t>
      </w:r>
      <w:r>
        <w:rPr>
          <w:color w:val="222222"/>
        </w:rPr>
        <w:t>“how</w:t>
      </w:r>
      <w:r>
        <w:rPr>
          <w:color w:val="222222"/>
        </w:rPr>
        <w:t xml:space="preserve"> </w:t>
      </w:r>
      <w:r>
        <w:rPr>
          <w:color w:val="222222"/>
        </w:rPr>
        <w:t>Native</w:t>
      </w:r>
      <w:r>
        <w:rPr>
          <w:color w:val="222222"/>
        </w:rPr>
        <w:t xml:space="preserve"> </w:t>
      </w:r>
      <w:r>
        <w:rPr>
          <w:color w:val="222222"/>
        </w:rPr>
        <w:t>artists</w:t>
      </w:r>
      <w:r>
        <w:rPr>
          <w:color w:val="222222"/>
        </w:rPr>
        <w:t xml:space="preserve"> </w:t>
      </w:r>
      <w:r>
        <w:rPr>
          <w:color w:val="222222"/>
        </w:rPr>
        <w:t>challenged</w:t>
      </w:r>
      <w:r>
        <w:rPr>
          <w:color w:val="222222"/>
        </w:rPr>
        <w:t xml:space="preserve"> </w:t>
      </w:r>
      <w:r>
        <w:rPr>
          <w:color w:val="222222"/>
        </w:rPr>
        <w:t>perceptions</w:t>
      </w:r>
      <w:r>
        <w:rPr>
          <w:color w:val="222222"/>
        </w:rPr>
        <w:t xml:space="preserve"> of </w:t>
      </w:r>
      <w:r>
        <w:rPr>
          <w:color w:val="222222"/>
        </w:rPr>
        <w:t>what</w:t>
      </w:r>
      <w:r>
        <w:rPr>
          <w:color w:val="222222"/>
        </w:rPr>
        <w:t xml:space="preserve"> </w:t>
      </w:r>
      <w:r>
        <w:rPr>
          <w:color w:val="222222"/>
        </w:rPr>
        <w:t>constituted</w:t>
      </w:r>
      <w:r>
        <w:rPr>
          <w:color w:val="222222"/>
        </w:rPr>
        <w:t xml:space="preserve"> art a</w:t>
      </w:r>
      <w:r>
        <w:rPr>
          <w:color w:val="222222"/>
        </w:rPr>
        <w:t xml:space="preserve">nd </w:t>
      </w:r>
      <w:r>
        <w:rPr>
          <w:color w:val="222222"/>
        </w:rPr>
        <w:t>what</w:t>
      </w:r>
      <w:r>
        <w:rPr>
          <w:color w:val="222222"/>
        </w:rPr>
        <w:t xml:space="preserve"> </w:t>
      </w:r>
      <w:r>
        <w:rPr>
          <w:color w:val="222222"/>
        </w:rPr>
        <w:t>Native</w:t>
      </w:r>
      <w:r>
        <w:rPr>
          <w:color w:val="222222"/>
        </w:rPr>
        <w:t xml:space="preserve"> art </w:t>
      </w:r>
      <w:r>
        <w:rPr>
          <w:color w:val="222222"/>
        </w:rPr>
        <w:t>could</w:t>
      </w:r>
      <w:r>
        <w:rPr>
          <w:color w:val="222222"/>
        </w:rPr>
        <w:t xml:space="preserve"> and </w:t>
      </w:r>
      <w:r>
        <w:rPr>
          <w:color w:val="222222"/>
        </w:rPr>
        <w:t>should</w:t>
      </w:r>
      <w:r>
        <w:rPr>
          <w:color w:val="222222"/>
        </w:rPr>
        <w:t xml:space="preserve"> </w:t>
      </w:r>
      <w:r>
        <w:rPr>
          <w:color w:val="222222"/>
        </w:rPr>
        <w:t>look</w:t>
      </w:r>
      <w:r>
        <w:rPr>
          <w:color w:val="222222"/>
        </w:rPr>
        <w:t xml:space="preserve"> </w:t>
      </w:r>
      <w:r>
        <w:rPr>
          <w:color w:val="222222"/>
        </w:rPr>
        <w:t>like.</w:t>
      </w:r>
      <w:r>
        <w:rPr>
          <w:color w:val="222222"/>
        </w:rPr>
        <w:t xml:space="preserve"> </w:t>
      </w:r>
      <w:r>
        <w:rPr>
          <w:color w:val="222222"/>
        </w:rPr>
        <w:t>Featuring</w:t>
      </w:r>
      <w:r>
        <w:rPr>
          <w:color w:val="222222"/>
        </w:rPr>
        <w:t xml:space="preserve"> </w:t>
      </w:r>
      <w:r>
        <w:rPr>
          <w:color w:val="222222"/>
        </w:rPr>
        <w:t>more</w:t>
      </w:r>
      <w:r>
        <w:rPr>
          <w:color w:val="222222"/>
        </w:rPr>
        <w:t xml:space="preserve"> </w:t>
      </w:r>
      <w:r>
        <w:rPr>
          <w:color w:val="222222"/>
        </w:rPr>
        <w:t>than</w:t>
      </w:r>
      <w:r>
        <w:rPr>
          <w:color w:val="222222"/>
        </w:rPr>
        <w:t xml:space="preserve"> 50 </w:t>
      </w:r>
      <w:r>
        <w:rPr>
          <w:color w:val="222222"/>
        </w:rPr>
        <w:t>works</w:t>
      </w:r>
      <w:r>
        <w:rPr>
          <w:color w:val="222222"/>
        </w:rPr>
        <w:t xml:space="preserve"> </w:t>
      </w:r>
      <w:r>
        <w:rPr>
          <w:color w:val="222222"/>
        </w:rPr>
        <w:t>by</w:t>
      </w:r>
      <w:r>
        <w:rPr>
          <w:color w:val="222222"/>
        </w:rPr>
        <w:t xml:space="preserve"> over 40 </w:t>
      </w:r>
      <w:r>
        <w:rPr>
          <w:color w:val="222222"/>
        </w:rPr>
        <w:t>artists,</w:t>
      </w:r>
      <w:r>
        <w:rPr>
          <w:color w:val="222222"/>
        </w:rPr>
        <w:t xml:space="preserve"> </w:t>
      </w:r>
      <w:r>
        <w:rPr>
          <w:color w:val="222222"/>
        </w:rPr>
        <w:t>this</w:t>
      </w:r>
      <w:r>
        <w:rPr>
          <w:color w:val="222222"/>
        </w:rPr>
        <w:t xml:space="preserve"> </w:t>
      </w:r>
      <w:r>
        <w:rPr>
          <w:color w:val="222222"/>
        </w:rPr>
        <w:t>exhibition</w:t>
      </w:r>
      <w:r>
        <w:rPr>
          <w:color w:val="222222"/>
        </w:rPr>
        <w:t xml:space="preserve"> tells </w:t>
      </w:r>
      <w:r>
        <w:rPr>
          <w:color w:val="222222"/>
        </w:rPr>
        <w:t>the</w:t>
      </w:r>
      <w:r>
        <w:rPr>
          <w:color w:val="222222"/>
        </w:rPr>
        <w:t xml:space="preserve"> </w:t>
      </w:r>
      <w:r>
        <w:rPr>
          <w:color w:val="222222"/>
        </w:rPr>
        <w:t>story</w:t>
      </w:r>
      <w:r>
        <w:rPr>
          <w:color w:val="222222"/>
        </w:rPr>
        <w:t xml:space="preserve"> of </w:t>
      </w:r>
      <w:r>
        <w:rPr>
          <w:color w:val="222222"/>
        </w:rPr>
        <w:t>how</w:t>
      </w:r>
      <w:r>
        <w:rPr>
          <w:color w:val="222222"/>
        </w:rPr>
        <w:t xml:space="preserve"> </w:t>
      </w:r>
      <w:r>
        <w:rPr>
          <w:color w:val="222222"/>
        </w:rPr>
        <w:t>American</w:t>
      </w:r>
      <w:r>
        <w:rPr>
          <w:color w:val="222222"/>
        </w:rPr>
        <w:t xml:space="preserve"> Indian art </w:t>
      </w:r>
      <w:r>
        <w:rPr>
          <w:color w:val="222222"/>
        </w:rPr>
        <w:t>expanded</w:t>
      </w:r>
      <w:r>
        <w:rPr>
          <w:color w:val="222222"/>
        </w:rPr>
        <w:t xml:space="preserve"> </w:t>
      </w:r>
      <w:r>
        <w:rPr>
          <w:color w:val="222222"/>
        </w:rPr>
        <w:t>after</w:t>
      </w:r>
      <w:r>
        <w:rPr>
          <w:color w:val="222222"/>
        </w:rPr>
        <w:t xml:space="preserve"> </w:t>
      </w:r>
      <w:r>
        <w:rPr>
          <w:color w:val="222222"/>
        </w:rPr>
        <w:t>World</w:t>
      </w:r>
      <w:r>
        <w:rPr>
          <w:color w:val="222222"/>
        </w:rPr>
        <w:t xml:space="preserve"> </w:t>
      </w:r>
      <w:r>
        <w:rPr>
          <w:color w:val="222222"/>
        </w:rPr>
        <w:t>War</w:t>
      </w:r>
      <w:r>
        <w:rPr>
          <w:color w:val="222222"/>
        </w:rPr>
        <w:t xml:space="preserve"> I and </w:t>
      </w:r>
      <w:r>
        <w:rPr>
          <w:color w:val="222222"/>
        </w:rPr>
        <w:t>how</w:t>
      </w:r>
      <w:r>
        <w:rPr>
          <w:color w:val="222222"/>
        </w:rPr>
        <w:t xml:space="preserve"> </w:t>
      </w:r>
      <w:r>
        <w:rPr>
          <w:color w:val="222222"/>
        </w:rPr>
        <w:t>Native</w:t>
      </w:r>
      <w:r>
        <w:rPr>
          <w:color w:val="222222"/>
        </w:rPr>
        <w:t xml:space="preserve"> </w:t>
      </w:r>
      <w:r>
        <w:rPr>
          <w:color w:val="222222"/>
        </w:rPr>
        <w:t>painters</w:t>
      </w:r>
      <w:r>
        <w:rPr>
          <w:color w:val="222222"/>
        </w:rPr>
        <w:t xml:space="preserve"> </w:t>
      </w:r>
      <w:r>
        <w:rPr>
          <w:color w:val="222222"/>
        </w:rPr>
        <w:t>began</w:t>
      </w:r>
      <w:r>
        <w:rPr>
          <w:color w:val="222222"/>
        </w:rPr>
        <w:t xml:space="preserve"> to </w:t>
      </w:r>
      <w:r>
        <w:rPr>
          <w:color w:val="222222"/>
        </w:rPr>
        <w:t>advocate</w:t>
      </w:r>
      <w:r>
        <w:rPr>
          <w:color w:val="222222"/>
        </w:rPr>
        <w:t xml:space="preserve"> for </w:t>
      </w:r>
      <w:r>
        <w:rPr>
          <w:color w:val="222222"/>
        </w:rPr>
        <w:t>themselves</w:t>
      </w:r>
      <w:r>
        <w:rPr>
          <w:color w:val="222222"/>
        </w:rPr>
        <w:t xml:space="preserve"> in a world </w:t>
      </w:r>
      <w:r>
        <w:rPr>
          <w:color w:val="222222"/>
        </w:rPr>
        <w:t>that</w:t>
      </w:r>
      <w:r>
        <w:rPr>
          <w:color w:val="222222"/>
        </w:rPr>
        <w:t xml:space="preserve"> </w:t>
      </w:r>
      <w:r>
        <w:rPr>
          <w:color w:val="222222"/>
        </w:rPr>
        <w:t>often</w:t>
      </w:r>
      <w:r>
        <w:rPr>
          <w:color w:val="222222"/>
        </w:rPr>
        <w:t xml:space="preserve"> </w:t>
      </w:r>
      <w:r>
        <w:rPr>
          <w:color w:val="222222"/>
        </w:rPr>
        <w:t>ignored</w:t>
      </w:r>
      <w:r>
        <w:rPr>
          <w:color w:val="222222"/>
        </w:rPr>
        <w:t xml:space="preserve"> </w:t>
      </w:r>
      <w:r>
        <w:rPr>
          <w:color w:val="222222"/>
        </w:rPr>
        <w:t>their</w:t>
      </w:r>
      <w:r>
        <w:rPr>
          <w:color w:val="222222"/>
        </w:rPr>
        <w:t xml:space="preserve"> talent</w:t>
      </w:r>
      <w:proofErr w:type="gramStart"/>
      <w:r>
        <w:rPr>
          <w:color w:val="222222"/>
        </w:rPr>
        <w:t>….Over</w:t>
      </w:r>
      <w:proofErr w:type="gramEnd"/>
      <w:r>
        <w:rPr>
          <w:color w:val="222222"/>
        </w:rPr>
        <w:t xml:space="preserve"> the span of ten decades, these artists and their work demonstrated the breadth, complexity, and continuing expansion of Native self</w:t>
      </w:r>
      <w:r>
        <w:rPr>
          <w:color w:val="222222"/>
        </w:rPr>
        <w:t>-</w:t>
      </w:r>
      <w:r>
        <w:rPr>
          <w:color w:val="222222"/>
        </w:rPr>
        <w:t>expression.”</w:t>
      </w:r>
      <w:r>
        <w:rPr>
          <w:color w:val="222222"/>
        </w:rPr>
        <w:t xml:space="preserve"> </w:t>
      </w:r>
      <w:r>
        <w:rPr>
          <w:color w:val="222222"/>
        </w:rPr>
        <w:t>For more information, go to:</w:t>
      </w:r>
      <w:r>
        <w:rPr>
          <w:color w:val="222222"/>
          <w:sz w:val="34"/>
        </w:rPr>
        <w:t xml:space="preserve"> </w:t>
      </w:r>
      <w:hyperlink r:id="rId31">
        <w:r>
          <w:rPr>
            <w:color w:val="0563C1"/>
            <w:u w:val="single" w:color="0563C1"/>
          </w:rPr>
          <w:t>https://americanindian.si.edu/explore/exhibitions/item?id=1017</w:t>
        </w:r>
      </w:hyperlink>
      <w:hyperlink r:id="rId32">
        <w:r>
          <w:t xml:space="preserve"> </w:t>
        </w:r>
      </w:hyperlink>
    </w:p>
    <w:p w14:paraId="61DE7C98" w14:textId="77777777" w:rsidR="0084453E" w:rsidRDefault="0071685D">
      <w:pPr>
        <w:spacing w:after="0" w:line="259" w:lineRule="auto"/>
        <w:ind w:left="0" w:firstLine="0"/>
      </w:pPr>
      <w:r>
        <w:lastRenderedPageBreak/>
        <w:t xml:space="preserve"> </w:t>
      </w:r>
    </w:p>
    <w:p w14:paraId="2F5EAE08" w14:textId="77777777" w:rsidR="0084453E" w:rsidRDefault="0071685D">
      <w:pPr>
        <w:ind w:left="-5"/>
      </w:pPr>
      <w:r>
        <w:t xml:space="preserve">Summer is a great time to go to powwows </w:t>
      </w:r>
      <w:r>
        <w:t xml:space="preserve">– </w:t>
      </w:r>
      <w:r>
        <w:t>and take the chi</w:t>
      </w:r>
      <w:r>
        <w:t xml:space="preserve">ldren, these are great family outings! You can find powwows near you at powwows.com. Check out:  </w:t>
      </w:r>
    </w:p>
    <w:p w14:paraId="5E474870" w14:textId="77777777" w:rsidR="0084453E" w:rsidRDefault="0071685D">
      <w:pPr>
        <w:spacing w:after="0" w:line="259" w:lineRule="auto"/>
        <w:ind w:left="-5" w:right="139"/>
      </w:pPr>
      <w:hyperlink r:id="rId33">
        <w:r>
          <w:rPr>
            <w:color w:val="0563C1"/>
            <w:u w:val="single" w:color="0563C1"/>
          </w:rPr>
          <w:t>https://www.powwows.com/pow</w:t>
        </w:r>
      </w:hyperlink>
      <w:hyperlink r:id="rId34">
        <w:r>
          <w:rPr>
            <w:color w:val="0563C1"/>
            <w:u w:val="single" w:color="0563C1"/>
          </w:rPr>
          <w:t>-wo</w:t>
        </w:r>
        <w:r>
          <w:rPr>
            <w:color w:val="0563C1"/>
            <w:u w:val="single" w:color="0563C1"/>
          </w:rPr>
          <w:t>ws-in-</w:t>
        </w:r>
      </w:hyperlink>
      <w:hyperlink r:id="rId35">
        <w:r>
          <w:rPr>
            <w:color w:val="0563C1"/>
            <w:u w:val="single" w:color="0563C1"/>
          </w:rPr>
          <w:t>my</w:t>
        </w:r>
      </w:hyperlink>
      <w:hyperlink r:id="rId36">
        <w:r>
          <w:rPr>
            <w:color w:val="0563C1"/>
            <w:u w:val="single" w:color="0563C1"/>
          </w:rPr>
          <w:t>-state</w:t>
        </w:r>
      </w:hyperlink>
      <w:hyperlink r:id="rId37">
        <w:r>
          <w:t xml:space="preserve"> </w:t>
        </w:r>
      </w:hyperlink>
    </w:p>
    <w:p w14:paraId="6FB2E13A" w14:textId="77777777" w:rsidR="0084453E" w:rsidRDefault="0071685D">
      <w:pPr>
        <w:spacing w:after="15" w:line="259" w:lineRule="auto"/>
        <w:ind w:left="0" w:firstLine="0"/>
      </w:pPr>
      <w:r>
        <w:t xml:space="preserve"> </w:t>
      </w:r>
    </w:p>
    <w:p w14:paraId="3C776788" w14:textId="77777777" w:rsidR="0084453E" w:rsidRDefault="0071685D">
      <w:pPr>
        <w:pStyle w:val="Heading1"/>
        <w:ind w:left="-5" w:right="139"/>
      </w:pPr>
      <w:r>
        <w:t>Opportunities to Partner</w:t>
      </w:r>
      <w:r>
        <w:rPr>
          <w:u w:val="none"/>
        </w:rPr>
        <w:t xml:space="preserve"> </w:t>
      </w:r>
    </w:p>
    <w:p w14:paraId="4BCB90D1" w14:textId="77777777" w:rsidR="0084453E" w:rsidRDefault="0071685D">
      <w:pPr>
        <w:ind w:left="-5"/>
      </w:pPr>
      <w:r>
        <w:t xml:space="preserve">The BYM Indigenous Affairs Committee has an invitation especially for </w:t>
      </w:r>
      <w:r>
        <w:rPr>
          <w:b/>
        </w:rPr>
        <w:t xml:space="preserve">Virginia </w:t>
      </w:r>
      <w:r>
        <w:t xml:space="preserve"> </w:t>
      </w:r>
    </w:p>
    <w:p w14:paraId="5B7F758B" w14:textId="77777777" w:rsidR="0084453E" w:rsidRDefault="0071685D">
      <w:pPr>
        <w:ind w:left="2956" w:hanging="2971"/>
      </w:pPr>
      <w:r>
        <w:rPr>
          <w:noProof/>
        </w:rPr>
        <w:drawing>
          <wp:anchor distT="0" distB="0" distL="114300" distR="114300" simplePos="0" relativeHeight="251662336" behindDoc="0" locked="0" layoutInCell="1" allowOverlap="0" wp14:anchorId="1D85AABE" wp14:editId="2BF3ED01">
            <wp:simplePos x="0" y="0"/>
            <wp:positionH relativeFrom="column">
              <wp:posOffset>0</wp:posOffset>
            </wp:positionH>
            <wp:positionV relativeFrom="paragraph">
              <wp:posOffset>201174</wp:posOffset>
            </wp:positionV>
            <wp:extent cx="1760015" cy="1760142"/>
            <wp:effectExtent l="0" t="0" r="0" b="0"/>
            <wp:wrapSquare wrapText="bothSides"/>
            <wp:docPr id="442" name="Picture 442"/>
            <wp:cNvGraphicFramePr/>
            <a:graphic xmlns:a="http://schemas.openxmlformats.org/drawingml/2006/main">
              <a:graphicData uri="http://schemas.openxmlformats.org/drawingml/2006/picture">
                <pic:pic xmlns:pic="http://schemas.openxmlformats.org/drawingml/2006/picture">
                  <pic:nvPicPr>
                    <pic:cNvPr id="442" name="Picture 442"/>
                    <pic:cNvPicPr/>
                  </pic:nvPicPr>
                  <pic:blipFill>
                    <a:blip r:embed="rId38"/>
                    <a:stretch>
                      <a:fillRect/>
                    </a:stretch>
                  </pic:blipFill>
                  <pic:spPr>
                    <a:xfrm>
                      <a:off x="0" y="0"/>
                      <a:ext cx="1760015" cy="1760142"/>
                    </a:xfrm>
                    <a:prstGeom prst="rect">
                      <a:avLst/>
                    </a:prstGeom>
                  </pic:spPr>
                </pic:pic>
              </a:graphicData>
            </a:graphic>
          </wp:anchor>
        </w:drawing>
      </w:r>
      <w:r>
        <w:rPr>
          <w:b/>
        </w:rPr>
        <w:t>Quakers</w:t>
      </w:r>
      <w:r>
        <w:t xml:space="preserve">. We are establishing a Working Group under the leadership of our new committee clerk, Abbey </w:t>
      </w:r>
      <w:proofErr w:type="gramStart"/>
      <w:r>
        <w:t xml:space="preserve">Compton, </w:t>
      </w:r>
      <w:r>
        <w:t xml:space="preserve"> </w:t>
      </w:r>
      <w:r>
        <w:t>to</w:t>
      </w:r>
      <w:proofErr w:type="gramEnd"/>
      <w:r>
        <w:t xml:space="preserve"> collaborate in building meaningful, ongoing relationships with Tribal leaders and elders across the Commonwealth. We will listen to their concerns and</w:t>
      </w:r>
      <w:r>
        <w:t xml:space="preserve"> advocate </w:t>
      </w:r>
      <w:r>
        <w:t xml:space="preserve">for </w:t>
      </w:r>
      <w:r>
        <w:t xml:space="preserve">them as we are led by Spirit. For more information or to receive a form expressing your interest, </w:t>
      </w:r>
      <w:proofErr w:type="gramStart"/>
      <w:r>
        <w:t xml:space="preserve">email </w:t>
      </w:r>
      <w:r>
        <w:t xml:space="preserve"> </w:t>
      </w:r>
      <w:r>
        <w:rPr>
          <w:rFonts w:ascii="Cambria" w:eastAsia="Cambria" w:hAnsi="Cambria" w:cs="Cambria"/>
          <w:color w:val="0563C1"/>
          <w:u w:val="single" w:color="0563C1"/>
        </w:rPr>
        <w:t>abbeycomptonishere@gmail.com</w:t>
      </w:r>
      <w:proofErr w:type="gramEnd"/>
      <w:r>
        <w:rPr>
          <w:rFonts w:ascii="Cambria" w:eastAsia="Cambria" w:hAnsi="Cambria" w:cs="Cambria"/>
        </w:rPr>
        <w:t xml:space="preserve">. No expertise is needed. </w:t>
      </w:r>
    </w:p>
    <w:p w14:paraId="43CD4A9C" w14:textId="77777777" w:rsidR="0084453E" w:rsidRDefault="0071685D">
      <w:pPr>
        <w:spacing w:after="0" w:line="259" w:lineRule="auto"/>
        <w:ind w:left="0" w:firstLine="0"/>
      </w:pPr>
      <w:r>
        <w:t xml:space="preserve"> </w:t>
      </w:r>
    </w:p>
    <w:p w14:paraId="35B418D7" w14:textId="77777777" w:rsidR="0084453E" w:rsidRDefault="0071685D">
      <w:pPr>
        <w:spacing w:after="171"/>
        <w:ind w:left="-15" w:firstLine="200"/>
      </w:pPr>
      <w:r>
        <w:t xml:space="preserve">The </w:t>
      </w:r>
      <w:proofErr w:type="spellStart"/>
      <w:r>
        <w:t>Pocahantas</w:t>
      </w:r>
      <w:proofErr w:type="spellEnd"/>
      <w:r>
        <w:t xml:space="preserve"> Project, based in Virginia, is an enthusiastic sponsor of initiat</w:t>
      </w:r>
      <w:r>
        <w:t xml:space="preserve">ives to declare an Indigenous Peoples Day in states or cities. So far, Maryland, Virginia, West Virginia, and Pennsylvania have not joined other states in this movement. Click on “Get Involved” and lend your support: </w:t>
      </w:r>
      <w:hyperlink r:id="rId39">
        <w:r>
          <w:rPr>
            <w:color w:val="0563C1"/>
            <w:u w:val="single" w:color="0563C1"/>
          </w:rPr>
          <w:t>https://www.pocahontasproject.org/ipd</w:t>
        </w:r>
      </w:hyperlink>
      <w:hyperlink r:id="rId40">
        <w:r>
          <w:rPr>
            <w:color w:val="0563C1"/>
            <w:u w:val="single" w:color="0563C1"/>
          </w:rPr>
          <w:t>-</w:t>
        </w:r>
      </w:hyperlink>
      <w:hyperlink r:id="rId41">
        <w:r>
          <w:rPr>
            <w:color w:val="0563C1"/>
            <w:u w:val="single" w:color="0563C1"/>
          </w:rPr>
          <w:t>initiative</w:t>
        </w:r>
      </w:hyperlink>
      <w:hyperlink r:id="rId42">
        <w:r>
          <w:t xml:space="preserve"> </w:t>
        </w:r>
      </w:hyperlink>
    </w:p>
    <w:p w14:paraId="5929C599" w14:textId="77777777" w:rsidR="0084453E" w:rsidRDefault="0071685D">
      <w:pPr>
        <w:spacing w:after="6341" w:line="259" w:lineRule="auto"/>
        <w:ind w:left="0" w:firstLine="0"/>
      </w:pPr>
      <w:r>
        <w:t xml:space="preserve"> </w:t>
      </w:r>
    </w:p>
    <w:p w14:paraId="328E6217" w14:textId="77777777" w:rsidR="0084453E" w:rsidRDefault="0071685D">
      <w:pPr>
        <w:spacing w:after="0" w:line="259" w:lineRule="auto"/>
        <w:ind w:left="180" w:firstLine="0"/>
        <w:jc w:val="center"/>
      </w:pPr>
      <w:r>
        <w:lastRenderedPageBreak/>
        <w:t xml:space="preserve"> </w:t>
      </w:r>
    </w:p>
    <w:sectPr w:rsidR="0084453E">
      <w:footerReference w:type="even" r:id="rId43"/>
      <w:footerReference w:type="default" r:id="rId44"/>
      <w:footerReference w:type="first" r:id="rId45"/>
      <w:pgSz w:w="12240" w:h="15840"/>
      <w:pgMar w:top="1488" w:right="1445" w:bottom="101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277E6" w14:textId="77777777" w:rsidR="0071685D" w:rsidRDefault="0071685D">
      <w:pPr>
        <w:spacing w:after="0" w:line="240" w:lineRule="auto"/>
      </w:pPr>
      <w:r>
        <w:separator/>
      </w:r>
    </w:p>
  </w:endnote>
  <w:endnote w:type="continuationSeparator" w:id="0">
    <w:p w14:paraId="7A6ED895" w14:textId="77777777" w:rsidR="0071685D" w:rsidRDefault="00716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9CFAB" w14:textId="77777777" w:rsidR="0084453E" w:rsidRDefault="0071685D">
    <w:pPr>
      <w:spacing w:after="0" w:line="259" w:lineRule="auto"/>
      <w:ind w:left="2" w:firstLine="0"/>
      <w:jc w:val="center"/>
    </w:pPr>
    <w:r>
      <w:fldChar w:fldCharType="begin"/>
    </w:r>
    <w:r>
      <w:instrText xml:space="preserve"> PAGE   \* MERGEFORMAT </w:instrText>
    </w:r>
    <w:r>
      <w:fldChar w:fldCharType="separate"/>
    </w:r>
    <w:r>
      <w:t>1</w:t>
    </w:r>
    <w:r>
      <w:fldChar w:fldCharType="end"/>
    </w:r>
    <w:r>
      <w:t xml:space="preserve"> </w:t>
    </w:r>
  </w:p>
  <w:p w14:paraId="7B10A936" w14:textId="77777777" w:rsidR="0084453E" w:rsidRDefault="0071685D">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7497E" w14:textId="77777777" w:rsidR="0084453E" w:rsidRDefault="0071685D">
    <w:pPr>
      <w:spacing w:after="0" w:line="259" w:lineRule="auto"/>
      <w:ind w:left="2" w:firstLine="0"/>
      <w:jc w:val="center"/>
    </w:pPr>
    <w:r>
      <w:fldChar w:fldCharType="begin"/>
    </w:r>
    <w:r>
      <w:instrText xml:space="preserve"> PAGE   \* MERGEFORMAT </w:instrText>
    </w:r>
    <w:r>
      <w:fldChar w:fldCharType="separate"/>
    </w:r>
    <w:r>
      <w:t>1</w:t>
    </w:r>
    <w:r>
      <w:fldChar w:fldCharType="end"/>
    </w:r>
    <w:r>
      <w:t xml:space="preserve"> </w:t>
    </w:r>
  </w:p>
  <w:p w14:paraId="367B2244" w14:textId="77777777" w:rsidR="0084453E" w:rsidRDefault="0071685D">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AB6C" w14:textId="77777777" w:rsidR="0084453E" w:rsidRDefault="0071685D">
    <w:pPr>
      <w:spacing w:after="0" w:line="259" w:lineRule="auto"/>
      <w:ind w:left="2" w:firstLine="0"/>
      <w:jc w:val="center"/>
    </w:pPr>
    <w:r>
      <w:fldChar w:fldCharType="begin"/>
    </w:r>
    <w:r>
      <w:instrText xml:space="preserve"> PAGE   \* MERGEFORMAT </w:instrText>
    </w:r>
    <w:r>
      <w:fldChar w:fldCharType="separate"/>
    </w:r>
    <w:r>
      <w:t>1</w:t>
    </w:r>
    <w:r>
      <w:fldChar w:fldCharType="end"/>
    </w:r>
    <w:r>
      <w:t xml:space="preserve"> </w:t>
    </w:r>
  </w:p>
  <w:p w14:paraId="16BC448D" w14:textId="77777777" w:rsidR="0084453E" w:rsidRDefault="0071685D">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E1C1B" w14:textId="77777777" w:rsidR="0071685D" w:rsidRDefault="0071685D">
      <w:pPr>
        <w:spacing w:after="0" w:line="240" w:lineRule="auto"/>
      </w:pPr>
      <w:r>
        <w:separator/>
      </w:r>
    </w:p>
  </w:footnote>
  <w:footnote w:type="continuationSeparator" w:id="0">
    <w:p w14:paraId="171F69CA" w14:textId="77777777" w:rsidR="0071685D" w:rsidRDefault="007168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53E"/>
    <w:rsid w:val="0071685D"/>
    <w:rsid w:val="0084453E"/>
    <w:rsid w:val="00D43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CABA2"/>
  <w15:docId w15:val="{C7684760-9B2F-4D32-B201-850FABFA7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121"/>
      <w:ind w:left="10" w:hanging="10"/>
      <w:outlineLvl w:val="0"/>
    </w:pPr>
    <w:rPr>
      <w:rFonts w:ascii="Calibri" w:eastAsia="Calibri" w:hAnsi="Calibri" w:cs="Calibri"/>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narf.org/" TargetMode="External"/><Relationship Id="rId18" Type="http://schemas.openxmlformats.org/officeDocument/2006/relationships/hyperlink" Target="https://www.nps.gov/articles/visit-indigenous-landscapes.htm" TargetMode="External"/><Relationship Id="rId26" Type="http://schemas.openxmlformats.org/officeDocument/2006/relationships/hyperlink" Target="https://www.fishpsychotherapy.com/about" TargetMode="External"/><Relationship Id="rId39" Type="http://schemas.openxmlformats.org/officeDocument/2006/relationships/hyperlink" Target="https://www.pocahontasproject.org/ipd-initiative" TargetMode="External"/><Relationship Id="rId21" Type="http://schemas.openxmlformats.org/officeDocument/2006/relationships/image" Target="media/image4.jpg"/><Relationship Id="rId34" Type="http://schemas.openxmlformats.org/officeDocument/2006/relationships/hyperlink" Target="https://www.powwows.com/pow-wows-in-my-state" TargetMode="External"/><Relationship Id="rId42" Type="http://schemas.openxmlformats.org/officeDocument/2006/relationships/hyperlink" Target="https://www.pocahontasproject.org/ipd-initiative" TargetMode="External"/><Relationship Id="rId47" Type="http://schemas.openxmlformats.org/officeDocument/2006/relationships/theme" Target="theme/theme1.xml"/><Relationship Id="rId7" Type="http://schemas.openxmlformats.org/officeDocument/2006/relationships/image" Target="media/image0.png"/><Relationship Id="rId2" Type="http://schemas.openxmlformats.org/officeDocument/2006/relationships/settings" Target="settings.xml"/><Relationship Id="rId16" Type="http://schemas.openxmlformats.org/officeDocument/2006/relationships/hyperlink" Target="https://www.nps.gov/articles/visit-indigenous-landscapes.htm" TargetMode="External"/><Relationship Id="rId29" Type="http://schemas.openxmlformats.org/officeDocument/2006/relationships/hyperlink" Target="https://cih.jhu.edu/programs/tending-our-roots/"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png"/><Relationship Id="rId24" Type="http://schemas.openxmlformats.org/officeDocument/2006/relationships/hyperlink" Target="https://cih.jhu.edu/team/miigis-gonzalez/" TargetMode="External"/><Relationship Id="rId32" Type="http://schemas.openxmlformats.org/officeDocument/2006/relationships/hyperlink" Target="https://americanindian.si.edu/explore/exhibitions/item?id=1017" TargetMode="External"/><Relationship Id="rId37" Type="http://schemas.openxmlformats.org/officeDocument/2006/relationships/hyperlink" Target="https://www.powwows.com/pow-wows-in-my-state" TargetMode="External"/><Relationship Id="rId40" Type="http://schemas.openxmlformats.org/officeDocument/2006/relationships/hyperlink" Target="https://www.pocahontasproject.org/ipd-initiative" TargetMode="External"/><Relationship Id="rId45"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www.nps.gov/articles/visit-indigenous-landscapes.htm" TargetMode="External"/><Relationship Id="rId23" Type="http://schemas.openxmlformats.org/officeDocument/2006/relationships/hyperlink" Target="https://cih.jhu.edu/team/miigis-gonzalez/" TargetMode="External"/><Relationship Id="rId28" Type="http://schemas.openxmlformats.org/officeDocument/2006/relationships/hyperlink" Target="https://cih.jhu.edu/programs/tending-our-roots/" TargetMode="External"/><Relationship Id="rId36" Type="http://schemas.openxmlformats.org/officeDocument/2006/relationships/hyperlink" Target="https://www.powwows.com/pow-wows-in-my-state" TargetMode="External"/><Relationship Id="rId10" Type="http://schemas.openxmlformats.org/officeDocument/2006/relationships/hyperlink" Target="https://bit.ly/3Ks8b8x" TargetMode="External"/><Relationship Id="rId19" Type="http://schemas.openxmlformats.org/officeDocument/2006/relationships/hyperlink" Target="https://www.nps.gov/articles/visit-indigenous-landscapes.htm" TargetMode="External"/><Relationship Id="rId31" Type="http://schemas.openxmlformats.org/officeDocument/2006/relationships/hyperlink" Target="https://americanindian.si.edu/explore/exhibitions/item?id=1017" TargetMode="External"/><Relationship Id="rId44"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bit.ly/3Ks8b8x" TargetMode="External"/><Relationship Id="rId14" Type="http://schemas.openxmlformats.org/officeDocument/2006/relationships/hyperlink" Target="https://narf.org/" TargetMode="External"/><Relationship Id="rId22" Type="http://schemas.openxmlformats.org/officeDocument/2006/relationships/hyperlink" Target="https://cih.jhu.edu/team/miigis-gonzalez/" TargetMode="External"/><Relationship Id="rId27" Type="http://schemas.openxmlformats.org/officeDocument/2006/relationships/hyperlink" Target="https://www.fishpsychotherapy.com/about" TargetMode="External"/><Relationship Id="rId30" Type="http://schemas.openxmlformats.org/officeDocument/2006/relationships/hyperlink" Target="https://cih.jhu.edu/programs/tending-our-roots/" TargetMode="External"/><Relationship Id="rId35" Type="http://schemas.openxmlformats.org/officeDocument/2006/relationships/hyperlink" Target="https://www.powwows.com/pow-wows-in-my-state" TargetMode="External"/><Relationship Id="rId43" Type="http://schemas.openxmlformats.org/officeDocument/2006/relationships/footer" Target="footer1.xml"/><Relationship Id="rId8" Type="http://schemas.openxmlformats.org/officeDocument/2006/relationships/hyperlink" Target="https://bit.ly/3Ks8b8x" TargetMode="External"/><Relationship Id="rId3"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https://www.nps.gov/articles/visit-indigenous-landscapes.htm" TargetMode="External"/><Relationship Id="rId25" Type="http://schemas.openxmlformats.org/officeDocument/2006/relationships/hyperlink" Target="https://www.fishpsychotherapy.com/about" TargetMode="External"/><Relationship Id="rId33" Type="http://schemas.openxmlformats.org/officeDocument/2006/relationships/hyperlink" Target="https://www.powwows.com/pow-wows-in-my-state" TargetMode="External"/><Relationship Id="rId38" Type="http://schemas.openxmlformats.org/officeDocument/2006/relationships/image" Target="media/image5.jpg"/><Relationship Id="rId46" Type="http://schemas.openxmlformats.org/officeDocument/2006/relationships/fontTable" Target="fontTable.xml"/><Relationship Id="rId20" Type="http://schemas.openxmlformats.org/officeDocument/2006/relationships/hyperlink" Target="https://www.nps.gov/articles/visit-indigenous-landscapes.htm" TargetMode="External"/><Relationship Id="rId41" Type="http://schemas.openxmlformats.org/officeDocument/2006/relationships/hyperlink" Target="https://www.pocahontasproject.org/ipd-initia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1204</Words>
  <Characters>6868</Characters>
  <Application>Microsoft Office Word</Application>
  <DocSecurity>0</DocSecurity>
  <Lines>57</Lines>
  <Paragraphs>16</Paragraphs>
  <ScaleCrop>false</ScaleCrop>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Susannah Rose</dc:creator>
  <cp:keywords/>
  <cp:lastModifiedBy>Lucy Azenga</cp:lastModifiedBy>
  <cp:revision>2</cp:revision>
  <dcterms:created xsi:type="dcterms:W3CDTF">2026-07-31T12:49:00Z</dcterms:created>
  <dcterms:modified xsi:type="dcterms:W3CDTF">2026-07-31T12:49:00Z</dcterms:modified>
</cp:coreProperties>
</file>